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nil" w:color="0000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ANEXO ÚNICO</w:t>
      </w:r>
      <w:r>
        <w:rPr>
          <w:b/>
          <w:sz w:val="24"/>
          <w:szCs w:val="24"/>
          <w:highlight w:val="none"/>
        </w:rPr>
      </w:r>
    </w:p>
    <w:p>
      <w:pPr>
        <w:jc w:val="center"/>
        <w:shd w:val="nil" w:color="0000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hd w:val="clear" w:color="auto" w:fill="auto"/>
        </w:rPr>
        <w:t xml:space="preserve">EDITAL Nº. 001/2023 – COMDCAC</w:t>
      </w:r>
      <w:r/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center"/>
        <w:shd w:val="nil" w:color="000000"/>
        <w:rPr>
          <w:b/>
          <w:sz w:val="24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center"/>
        <w:shd w:val="nil" w:color="000000"/>
        <w:rPr>
          <w:b/>
          <w:sz w:val="24"/>
          <w:szCs w:val="24"/>
          <w:highlight w:val="none"/>
        </w:rPr>
      </w:pPr>
      <w:r>
        <w:rPr>
          <w:rFonts w:ascii="Arial" w:hAnsi="Arial" w:cs="Arial" w:eastAsia="Arial"/>
          <w:b/>
          <w:sz w:val="24"/>
          <w:szCs w:val="24"/>
          <w:highlight w:val="none"/>
        </w:rPr>
      </w:r>
      <w:r>
        <w:rPr>
          <w:rFonts w:ascii="Arial" w:hAnsi="Arial"/>
          <w:b/>
          <w:sz w:val="24"/>
        </w:rPr>
        <w:t xml:space="preserve">Curso de Formação de Conselheiros Tutelares</w:t>
      </w:r>
      <w:r>
        <w:rPr>
          <w:b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</w:r>
    </w:p>
    <w:p>
      <w:pPr>
        <w:shd w:val="nil" w:color="0000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hd w:val="nil" w:color="000000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CONTEÚDO PROGRAMÁTICO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b/>
          <w:sz w:val="24"/>
          <w:highlight w:val="none"/>
        </w:rPr>
      </w:pPr>
      <w:r>
        <w:rPr>
          <w:b/>
          <w:bCs/>
          <w:sz w:val="24"/>
        </w:rPr>
        <w:t xml:space="preserve">Doutrina da Proteção Integral</w:t>
      </w:r>
      <w:r>
        <w:rPr>
          <w:b/>
          <w:bCs/>
          <w:sz w:val="24"/>
          <w:highlight w:val="none"/>
        </w:rPr>
      </w:r>
      <w:r>
        <w:rPr>
          <w:b/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</w:rPr>
        <w:t xml:space="preserve">Lei nº 8.069/90 – Estatuto da Criança e do Adolescente: Doutrina da Proteção Integral e Sistema de Garantia de Direitos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</w:rPr>
        <w:t xml:space="preserve">Artigo1º - terminologia e conceituação;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</w:rPr>
        <w:t xml:space="preserve">Artigo 2º - definição – criança e adolescente – principio da excepcionalidade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</w:rPr>
        <w:t xml:space="preserve">Artigo 4º - principio da prioridade absoluta;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</w:rPr>
        <w:t xml:space="preserve">Artigo 6º - principio da prevalência dos interesses da criança e do adolescente.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  <w:highlight w:val="none"/>
        </w:rPr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b/>
          <w:sz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  <w:t xml:space="preserve">Sistema de Garantia de Direitos e </w:t>
      </w:r>
      <w:r>
        <w:rPr>
          <w:b/>
          <w:bCs/>
          <w:sz w:val="24"/>
          <w:szCs w:val="24"/>
        </w:rPr>
        <w:t xml:space="preserve">Política de Atendimento e Rede de Proteção</w:t>
      </w:r>
      <w:r>
        <w:rPr>
          <w:b/>
          <w:sz w:val="24"/>
          <w:highlight w:val="none"/>
        </w:rPr>
      </w:r>
      <w:r>
        <w:rPr>
          <w:b/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Lei nº 8.069/90 – Estatuto da Criança e do Adolescente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</w:rPr>
        <w:t xml:space="preserve">Artigos 7º a 69 – dos direitos e garantias;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</w:rPr>
        <w:t xml:space="preserve">Artigos 86 a 88 – da política de atendimento;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highlight w:val="none"/>
        </w:rPr>
      </w:r>
      <w:r>
        <w:rPr>
          <w:bCs/>
          <w:sz w:val="24"/>
        </w:rPr>
      </w:r>
      <w:r>
        <w:rPr>
          <w:sz w:val="24"/>
        </w:rPr>
      </w:r>
    </w:p>
    <w:p>
      <w:pPr>
        <w:shd w:val="nil" w:color="000000"/>
        <w:rPr>
          <w:b/>
          <w:sz w:val="24"/>
          <w:highlight w:val="none"/>
        </w:rPr>
      </w:pPr>
      <w:r>
        <w:rPr>
          <w:b/>
          <w:bCs/>
          <w:sz w:val="24"/>
        </w:rPr>
        <w:t xml:space="preserve">Pa</w:t>
      </w:r>
      <w:r>
        <w:rPr>
          <w:b/>
          <w:bCs/>
          <w:sz w:val="24"/>
        </w:rPr>
        <w:t xml:space="preserve">râmetros de funcionamento do Conselho Tutelar</w:t>
      </w:r>
      <w:r>
        <w:rPr>
          <w:b/>
          <w:sz w:val="24"/>
          <w:highlight w:val="none"/>
        </w:rPr>
      </w:r>
      <w:r>
        <w:rPr>
          <w:b/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Lei nº 8.069/90 – Estatuto da Criança e do Adolescente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</w:rPr>
        <w:t xml:space="preserve">Artigos 131 a 135 – do funcionamento do conselho tutelar;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</w:rPr>
        <w:t xml:space="preserve">Artigos 95; 136; 191 e 194 – das atribuições do conselho tutelar;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</w:rPr>
        <w:t xml:space="preserve">Artigo 147 – da competência;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</w:rPr>
        <w:t xml:space="preserve">Artigos 229 a 236 e 245 a 250 – dos crimes e das infrações administrativas;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Lei Municipal Nº 5.396/2015 que criou o Conselho Tutelar, o Conselho Municipal dos Direitos da Criança e do Adolescente e o Fundo da Infância e Adolescência.</w:t>
      </w:r>
      <w:r>
        <w:rPr>
          <w:sz w:val="24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bCs w:val="0"/>
          <w:sz w:val="24"/>
          <w:highlight w:val="none"/>
        </w:rPr>
      </w:r>
      <w:r>
        <w:rPr>
          <w:bCs w:val="0"/>
          <w:sz w:val="24"/>
        </w:rPr>
      </w:r>
      <w:r>
        <w:rPr>
          <w:sz w:val="24"/>
        </w:rPr>
      </w:r>
    </w:p>
    <w:p>
      <w:pPr>
        <w:shd w:val="nil" w:color="000000"/>
        <w:rPr>
          <w:b/>
          <w:sz w:val="24"/>
          <w:highlight w:val="none"/>
        </w:rPr>
      </w:pPr>
      <w:r>
        <w:rPr>
          <w:b/>
          <w:bCs/>
          <w:sz w:val="24"/>
          <w:highlight w:val="none"/>
        </w:rPr>
        <w:t xml:space="preserve">Noções básicas de informática</w:t>
      </w:r>
      <w:r>
        <w:rPr>
          <w:b/>
          <w:bCs/>
          <w:sz w:val="24"/>
          <w:highlight w:val="none"/>
        </w:rPr>
      </w:r>
      <w:r>
        <w:rPr>
          <w:b/>
          <w:sz w:val="24"/>
        </w:rPr>
      </w:r>
    </w:p>
    <w:p>
      <w:pPr>
        <w:shd w:val="nil" w:color="000000"/>
        <w:rPr>
          <w:sz w:val="24"/>
          <w:highlight w:val="none"/>
        </w:rPr>
      </w:pPr>
      <w:r>
        <w:rPr>
          <w:sz w:val="24"/>
        </w:rPr>
        <w:t xml:space="preserve">Hardware e Software;</w:t>
      </w:r>
      <w:r>
        <w:rPr>
          <w:sz w:val="24"/>
          <w:highlight w:val="none"/>
        </w:rPr>
      </w:r>
      <w:r>
        <w:rPr>
          <w:sz w:val="24"/>
        </w:rPr>
      </w:r>
    </w:p>
    <w:p>
      <w:pPr>
        <w:shd w:val="nil" w:color="000000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</w:rPr>
        <w:t xml:space="preserve">Digitação Básica</w:t>
      </w:r>
      <w:r>
        <w:rPr>
          <w:sz w:val="24"/>
          <w:highlight w:val="none"/>
        </w:rPr>
        <w:t xml:space="preserve">;</w:t>
      </w:r>
      <w:r>
        <w:rPr>
          <w:sz w:val="24"/>
          <w:highlight w:val="none"/>
        </w:rPr>
      </w:r>
      <w:r>
        <w:rPr>
          <w:sz w:val="24"/>
        </w:rPr>
      </w:r>
    </w:p>
    <w:p>
      <w:pPr>
        <w:shd w:val="nil" w:color="000000"/>
        <w:rPr>
          <w:sz w:val="24"/>
          <w:highlight w:val="none"/>
        </w:rPr>
      </w:pPr>
      <w:r>
        <w:rPr>
          <w:sz w:val="24"/>
          <w:highlight w:val="none"/>
        </w:rPr>
        <w:t xml:space="preserve">Conhecendo o Windows;</w:t>
      </w:r>
      <w:r>
        <w:rPr>
          <w:sz w:val="24"/>
          <w:highlight w:val="none"/>
        </w:rPr>
      </w:r>
      <w:r>
        <w:rPr>
          <w:sz w:val="24"/>
        </w:rPr>
      </w:r>
    </w:p>
    <w:p>
      <w:pPr>
        <w:shd w:val="nil" w:color="000000"/>
        <w:rPr>
          <w:sz w:val="24"/>
          <w:highlight w:val="none"/>
        </w:rPr>
      </w:pPr>
      <w:r>
        <w:rPr>
          <w:sz w:val="24"/>
          <w:highlight w:val="none"/>
        </w:rPr>
        <w:t xml:space="preserve">Noções básicas de word.</w:t>
      </w:r>
      <w:r>
        <w:rPr>
          <w:bCs/>
          <w:sz w:val="24"/>
          <w:highlight w:val="none"/>
        </w:rPr>
      </w:r>
      <w:r>
        <w:rPr>
          <w:sz w:val="24"/>
        </w:rPr>
      </w:r>
    </w:p>
    <w:p>
      <w:pPr>
        <w:shd w:val="nil" w:color="000000"/>
        <w:rPr>
          <w:sz w:val="24"/>
        </w:rPr>
      </w:pPr>
      <w:r>
        <w:rPr>
          <w:bCs/>
          <w:sz w:val="24"/>
          <w:szCs w:val="24"/>
          <w:highlight w:val="none"/>
        </w:rPr>
      </w:r>
      <w:r>
        <w:rPr>
          <w:bCs/>
          <w:sz w:val="24"/>
        </w:rPr>
      </w:r>
      <w:r>
        <w:rPr>
          <w:sz w:val="24"/>
        </w:rPr>
      </w:r>
    </w:p>
    <w:p>
      <w:pPr>
        <w:shd w:val="nil" w:color="000000"/>
        <w:rPr>
          <w:b/>
          <w:sz w:val="24"/>
          <w:highlight w:val="none"/>
        </w:rPr>
      </w:pPr>
      <w:r>
        <w:rPr>
          <w:b/>
          <w:bCs/>
          <w:sz w:val="24"/>
          <w:szCs w:val="24"/>
          <w:highlight w:val="none"/>
        </w:rPr>
        <w:t xml:space="preserve">Português</w:t>
      </w:r>
      <w:r>
        <w:rPr>
          <w:b/>
          <w:bCs/>
          <w:sz w:val="24"/>
          <w:highlight w:val="none"/>
        </w:rPr>
      </w:r>
      <w:r>
        <w:rPr>
          <w:b/>
          <w:sz w:val="24"/>
        </w:rPr>
      </w:r>
    </w:p>
    <w:p>
      <w:pPr>
        <w:shd w:val="nil" w:color="000000"/>
        <w:rPr>
          <w:sz w:val="24"/>
          <w:highlight w:val="none"/>
        </w:rPr>
      </w:pPr>
      <w:r>
        <w:rPr>
          <w:sz w:val="24"/>
        </w:rPr>
        <w:t xml:space="preserve">Ortografia;</w:t>
      </w:r>
      <w:r>
        <w:rPr>
          <w:sz w:val="24"/>
          <w:highlight w:val="none"/>
        </w:rPr>
      </w:r>
      <w:r>
        <w:rPr>
          <w:sz w:val="24"/>
        </w:rPr>
      </w:r>
    </w:p>
    <w:p>
      <w:pPr>
        <w:shd w:val="nil" w:color="000000"/>
        <w:rPr>
          <w:sz w:val="24"/>
          <w:highlight w:val="none"/>
        </w:rPr>
      </w:pPr>
      <w:r>
        <w:rPr>
          <w:sz w:val="24"/>
          <w:highlight w:val="none"/>
        </w:rPr>
        <w:t xml:space="preserve">Acentuação gráfica;</w:t>
      </w:r>
      <w:r>
        <w:rPr>
          <w:sz w:val="24"/>
          <w:highlight w:val="none"/>
        </w:rPr>
      </w:r>
      <w:r>
        <w:rPr>
          <w:sz w:val="24"/>
        </w:rPr>
      </w:r>
    </w:p>
    <w:p>
      <w:pPr>
        <w:shd w:val="nil" w:color="000000"/>
        <w:rPr>
          <w:sz w:val="24"/>
          <w:highlight w:val="none"/>
        </w:rPr>
      </w:pPr>
      <w:r>
        <w:rPr>
          <w:sz w:val="24"/>
          <w:highlight w:val="none"/>
        </w:rPr>
        <w:t xml:space="preserve">Pontuação;</w:t>
      </w:r>
      <w:r>
        <w:rPr>
          <w:sz w:val="24"/>
          <w:highlight w:val="none"/>
        </w:rPr>
      </w:r>
      <w:r>
        <w:rPr>
          <w:sz w:val="24"/>
        </w:rPr>
      </w:r>
    </w:p>
    <w:p>
      <w:pPr>
        <w:shd w:val="nil" w:color="000000"/>
        <w:rPr>
          <w:sz w:val="24"/>
          <w:highlight w:val="none"/>
        </w:rPr>
      </w:pPr>
      <w:r>
        <w:rPr>
          <w:sz w:val="24"/>
          <w:highlight w:val="none"/>
        </w:rPr>
        <w:t xml:space="preserve">Interpretação de textos.</w:t>
      </w:r>
      <w:r>
        <w:rPr>
          <w:sz w:val="24"/>
          <w:highlight w:val="none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bookmarkStart w:id="0" w:name="_GoBack"/>
      <w:r>
        <w:rPr>
          <w:sz w:val="24"/>
        </w:rPr>
      </w:r>
      <w:bookmarkEnd w:id="0"/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1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2017-12-12T08:30:00Z</dcterms:created>
  <dcterms:modified xsi:type="dcterms:W3CDTF">2023-06-26T18:00:11Z</dcterms:modified>
</cp:coreProperties>
</file>